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491"/>
        <w:gridCol w:w="6797"/>
      </w:tblGrid>
      <w:tr w:rsidR="00EF0AA3" w14:paraId="424D501B" w14:textId="77777777" w:rsidTr="00A23578">
        <w:tc>
          <w:tcPr>
            <w:tcW w:w="1341" w:type="pct"/>
            <w:tcBorders>
              <w:top w:val="double" w:sz="6" w:space="0" w:color="auto"/>
              <w:left w:val="double" w:sz="6" w:space="0" w:color="auto"/>
              <w:bottom w:val="single" w:sz="4" w:space="0" w:color="auto"/>
              <w:right w:val="single" w:sz="4" w:space="0" w:color="auto"/>
            </w:tcBorders>
            <w:hideMark/>
          </w:tcPr>
          <w:p w14:paraId="6853DA56" w14:textId="77777777" w:rsidR="00EF0AA3" w:rsidRDefault="00EF0AA3" w:rsidP="00A23578">
            <w:pPr>
              <w:spacing w:line="256" w:lineRule="auto"/>
              <w:rPr>
                <w:b/>
                <w:lang w:val="en-GB" w:eastAsia="fr-FR"/>
              </w:rPr>
            </w:pPr>
            <w:bookmarkStart w:id="0" w:name="_GoBack"/>
            <w:bookmarkEnd w:id="0"/>
            <w:r>
              <w:rPr>
                <w:b/>
                <w:sz w:val="22"/>
                <w:szCs w:val="22"/>
                <w:lang w:val="en-GB" w:eastAsia="fr-FR"/>
              </w:rPr>
              <w:t>Country:</w:t>
            </w:r>
          </w:p>
        </w:tc>
        <w:tc>
          <w:tcPr>
            <w:tcW w:w="3659" w:type="pct"/>
            <w:tcBorders>
              <w:top w:val="double" w:sz="6" w:space="0" w:color="auto"/>
              <w:left w:val="nil"/>
              <w:bottom w:val="single" w:sz="4" w:space="0" w:color="auto"/>
              <w:right w:val="double" w:sz="6" w:space="0" w:color="auto"/>
            </w:tcBorders>
            <w:hideMark/>
          </w:tcPr>
          <w:p w14:paraId="73EC10CC" w14:textId="77777777" w:rsidR="00EF0AA3" w:rsidRDefault="00EF0AA3" w:rsidP="00A23578">
            <w:pPr>
              <w:spacing w:line="256" w:lineRule="auto"/>
              <w:rPr>
                <w:highlight w:val="yellow"/>
                <w:lang w:val="en-GB" w:eastAsia="fr-FR"/>
              </w:rPr>
            </w:pPr>
            <w:r>
              <w:rPr>
                <w:b/>
                <w:sz w:val="22"/>
                <w:szCs w:val="22"/>
                <w:lang w:val="en-GB" w:eastAsia="fr-FR"/>
              </w:rPr>
              <w:t>Georgia</w:t>
            </w:r>
          </w:p>
        </w:tc>
      </w:tr>
      <w:tr w:rsidR="00EF0AA3" w14:paraId="3CFE85E4" w14:textId="77777777" w:rsidTr="00A23578">
        <w:tc>
          <w:tcPr>
            <w:tcW w:w="1341" w:type="pct"/>
            <w:tcBorders>
              <w:top w:val="single" w:sz="4" w:space="0" w:color="auto"/>
              <w:left w:val="double" w:sz="6" w:space="0" w:color="auto"/>
              <w:bottom w:val="single" w:sz="4" w:space="0" w:color="auto"/>
              <w:right w:val="single" w:sz="4" w:space="0" w:color="auto"/>
            </w:tcBorders>
            <w:hideMark/>
          </w:tcPr>
          <w:p w14:paraId="2B06E82A" w14:textId="77777777" w:rsidR="00EF0AA3" w:rsidRDefault="00EF0AA3" w:rsidP="00A23578">
            <w:pPr>
              <w:spacing w:line="256" w:lineRule="auto"/>
              <w:rPr>
                <w:b/>
                <w:lang w:val="en-GB" w:eastAsia="fr-FR"/>
              </w:rPr>
            </w:pPr>
            <w:r>
              <w:rPr>
                <w:b/>
                <w:sz w:val="22"/>
                <w:szCs w:val="22"/>
                <w:lang w:val="en-GB" w:eastAsia="fr-FR"/>
              </w:rPr>
              <w:t>Area</w:t>
            </w:r>
          </w:p>
        </w:tc>
        <w:tc>
          <w:tcPr>
            <w:tcW w:w="3659" w:type="pct"/>
            <w:tcBorders>
              <w:top w:val="single" w:sz="4" w:space="0" w:color="auto"/>
              <w:left w:val="nil"/>
              <w:bottom w:val="single" w:sz="4" w:space="0" w:color="auto"/>
              <w:right w:val="double" w:sz="6" w:space="0" w:color="auto"/>
            </w:tcBorders>
            <w:hideMark/>
          </w:tcPr>
          <w:p w14:paraId="43054A41" w14:textId="541D544C" w:rsidR="00EF0AA3" w:rsidRDefault="005C681C" w:rsidP="00A23578">
            <w:pPr>
              <w:spacing w:line="256" w:lineRule="auto"/>
              <w:rPr>
                <w:lang w:val="en-GB" w:eastAsia="fr-FR"/>
              </w:rPr>
            </w:pPr>
            <w:r>
              <w:rPr>
                <w:lang w:val="en-GB" w:eastAsia="fr-FR"/>
              </w:rPr>
              <w:t>Cross-border threats</w:t>
            </w:r>
          </w:p>
        </w:tc>
      </w:tr>
      <w:tr w:rsidR="00EF0AA3" w:rsidRPr="005C681C" w14:paraId="04203C87" w14:textId="77777777" w:rsidTr="00A23578">
        <w:tc>
          <w:tcPr>
            <w:tcW w:w="1341" w:type="pct"/>
            <w:tcBorders>
              <w:top w:val="single" w:sz="4" w:space="0" w:color="auto"/>
              <w:left w:val="double" w:sz="6" w:space="0" w:color="auto"/>
              <w:bottom w:val="single" w:sz="4" w:space="0" w:color="auto"/>
              <w:right w:val="single" w:sz="4" w:space="0" w:color="auto"/>
            </w:tcBorders>
            <w:hideMark/>
          </w:tcPr>
          <w:p w14:paraId="0B635359" w14:textId="77777777" w:rsidR="00EF0AA3" w:rsidRPr="00334430" w:rsidRDefault="00EF0AA3" w:rsidP="00A23578">
            <w:pPr>
              <w:spacing w:line="256" w:lineRule="auto"/>
              <w:rPr>
                <w:sz w:val="22"/>
                <w:szCs w:val="22"/>
                <w:lang w:val="en-GB" w:eastAsia="fr-FR"/>
              </w:rPr>
            </w:pPr>
            <w:r w:rsidRPr="00334430">
              <w:rPr>
                <w:sz w:val="22"/>
                <w:szCs w:val="22"/>
                <w:lang w:val="en-GB" w:eastAsia="fr-FR"/>
              </w:rPr>
              <w:t>EU law</w:t>
            </w:r>
          </w:p>
        </w:tc>
        <w:tc>
          <w:tcPr>
            <w:tcW w:w="3659" w:type="pct"/>
            <w:tcBorders>
              <w:top w:val="single" w:sz="4" w:space="0" w:color="auto"/>
              <w:left w:val="nil"/>
              <w:bottom w:val="single" w:sz="4" w:space="0" w:color="auto"/>
              <w:right w:val="double" w:sz="6" w:space="0" w:color="auto"/>
            </w:tcBorders>
          </w:tcPr>
          <w:p w14:paraId="108B4DDC" w14:textId="77777777" w:rsidR="005C681C" w:rsidRPr="005C681C" w:rsidRDefault="005C681C" w:rsidP="005C681C">
            <w:pPr>
              <w:pStyle w:val="ListParagraph"/>
              <w:numPr>
                <w:ilvl w:val="0"/>
                <w:numId w:val="3"/>
              </w:numPr>
              <w:autoSpaceDE w:val="0"/>
              <w:autoSpaceDN w:val="0"/>
              <w:adjustRightInd w:val="0"/>
              <w:rPr>
                <w:bCs/>
                <w:noProof/>
                <w:sz w:val="22"/>
                <w:szCs w:val="22"/>
                <w:lang w:val="tr-TR" w:eastAsia="en-GB"/>
              </w:rPr>
            </w:pPr>
            <w:r w:rsidRPr="005C681C">
              <w:rPr>
                <w:bCs/>
                <w:noProof/>
                <w:sz w:val="22"/>
                <w:szCs w:val="22"/>
                <w:lang w:val="tr-TR" w:eastAsia="en-GB"/>
              </w:rPr>
              <w:t xml:space="preserve">Decision No 1082/2013/EU of the European Parliament and of the Council of 22 October 2013 on serious cross-border threats to health and repealing Decision No 2119/98/EC </w:t>
            </w:r>
          </w:p>
          <w:p w14:paraId="0BF15BD9" w14:textId="77777777" w:rsidR="005C681C" w:rsidRPr="005C681C" w:rsidRDefault="005C681C" w:rsidP="005C681C">
            <w:pPr>
              <w:autoSpaceDE w:val="0"/>
              <w:autoSpaceDN w:val="0"/>
              <w:adjustRightInd w:val="0"/>
              <w:rPr>
                <w:bCs/>
                <w:noProof/>
                <w:sz w:val="22"/>
                <w:szCs w:val="22"/>
                <w:lang w:val="tr-TR" w:eastAsia="en-GB"/>
              </w:rPr>
            </w:pPr>
          </w:p>
          <w:p w14:paraId="455D52FF" w14:textId="77777777" w:rsidR="005C681C" w:rsidRPr="005C681C" w:rsidRDefault="005C681C" w:rsidP="005C681C">
            <w:pPr>
              <w:pStyle w:val="ListParagraph"/>
              <w:numPr>
                <w:ilvl w:val="0"/>
                <w:numId w:val="3"/>
              </w:numPr>
              <w:autoSpaceDE w:val="0"/>
              <w:autoSpaceDN w:val="0"/>
              <w:adjustRightInd w:val="0"/>
              <w:rPr>
                <w:bCs/>
                <w:noProof/>
                <w:sz w:val="22"/>
                <w:szCs w:val="22"/>
                <w:lang w:val="tr-TR" w:eastAsia="en-GB"/>
              </w:rPr>
            </w:pPr>
            <w:r w:rsidRPr="005C681C">
              <w:rPr>
                <w:bCs/>
                <w:noProof/>
                <w:sz w:val="22"/>
                <w:szCs w:val="22"/>
                <w:lang w:val="tr-TR" w:eastAsia="en-GB"/>
              </w:rPr>
              <w:t>Commission implementing Decision (EU) 2014/504 of 25 July 2014 with regard to the template for providing the information on preparedness and response planning in relation to serious cross-border threats to health</w:t>
            </w:r>
          </w:p>
          <w:p w14:paraId="1B9063D9" w14:textId="77777777" w:rsidR="005C681C" w:rsidRPr="005C681C" w:rsidRDefault="005C681C" w:rsidP="005C681C">
            <w:pPr>
              <w:autoSpaceDE w:val="0"/>
              <w:autoSpaceDN w:val="0"/>
              <w:adjustRightInd w:val="0"/>
              <w:rPr>
                <w:bCs/>
                <w:noProof/>
                <w:sz w:val="22"/>
                <w:szCs w:val="22"/>
                <w:lang w:val="tr-TR" w:eastAsia="en-GB"/>
              </w:rPr>
            </w:pPr>
          </w:p>
          <w:p w14:paraId="0D5337C7" w14:textId="77777777" w:rsidR="005C681C" w:rsidRPr="005C681C" w:rsidRDefault="005C681C" w:rsidP="005C681C">
            <w:pPr>
              <w:pStyle w:val="ListParagraph"/>
              <w:numPr>
                <w:ilvl w:val="0"/>
                <w:numId w:val="3"/>
              </w:numPr>
              <w:autoSpaceDE w:val="0"/>
              <w:autoSpaceDN w:val="0"/>
              <w:adjustRightInd w:val="0"/>
              <w:rPr>
                <w:bCs/>
                <w:noProof/>
                <w:sz w:val="22"/>
                <w:szCs w:val="22"/>
                <w:lang w:val="tr-TR" w:eastAsia="en-GB"/>
              </w:rPr>
            </w:pPr>
            <w:r w:rsidRPr="005C681C">
              <w:rPr>
                <w:bCs/>
                <w:noProof/>
                <w:sz w:val="22"/>
                <w:szCs w:val="22"/>
                <w:lang w:val="tr-TR" w:eastAsia="en-GB"/>
              </w:rPr>
              <w:t xml:space="preserve">Commission Implementing Decision (EU) 2017/253 of 13 February 2017 laying down procedures for the notification of alerts as part of the early warning and response system established in relation to serious cross-border threats to health and for the information exchange, consultation and coordination of responses to such threats pursuant to Decision No 1082/2013/EU of the European Parliament and of the Council. </w:t>
            </w:r>
          </w:p>
          <w:p w14:paraId="3A17C28C" w14:textId="77777777" w:rsidR="005C681C" w:rsidRPr="005C681C" w:rsidRDefault="005C681C" w:rsidP="005C681C">
            <w:pPr>
              <w:autoSpaceDE w:val="0"/>
              <w:autoSpaceDN w:val="0"/>
              <w:adjustRightInd w:val="0"/>
              <w:rPr>
                <w:bCs/>
                <w:noProof/>
                <w:sz w:val="22"/>
                <w:szCs w:val="22"/>
                <w:lang w:val="tr-TR" w:eastAsia="en-GB"/>
              </w:rPr>
            </w:pPr>
          </w:p>
          <w:p w14:paraId="3C8F470E" w14:textId="77777777" w:rsidR="005C681C" w:rsidRPr="005C681C" w:rsidRDefault="005C681C" w:rsidP="005C681C">
            <w:pPr>
              <w:pStyle w:val="ListParagraph"/>
              <w:numPr>
                <w:ilvl w:val="0"/>
                <w:numId w:val="3"/>
              </w:numPr>
              <w:autoSpaceDE w:val="0"/>
              <w:autoSpaceDN w:val="0"/>
              <w:adjustRightInd w:val="0"/>
              <w:rPr>
                <w:bCs/>
                <w:noProof/>
                <w:sz w:val="22"/>
                <w:szCs w:val="22"/>
                <w:lang w:val="tr-TR" w:eastAsia="en-GB"/>
              </w:rPr>
            </w:pPr>
            <w:r w:rsidRPr="005C681C">
              <w:rPr>
                <w:bCs/>
                <w:noProof/>
                <w:sz w:val="22"/>
                <w:szCs w:val="22"/>
                <w:lang w:val="tr-TR" w:eastAsia="en-GB"/>
              </w:rPr>
              <w:t>Commission Recommendation (EU) 2017/1140 of 23 June 2017 on personal data that may be exchanged through the Early Warning and Response System (EWRS) established pursuant to Decision No 1082/2013/EU of the European Parliament and of the Council for the purposes of the coordination of contact tracing measures in relation to serious cross-border threats to health.</w:t>
            </w:r>
          </w:p>
          <w:p w14:paraId="6B96A869" w14:textId="77777777" w:rsidR="005C681C" w:rsidRPr="005C681C" w:rsidRDefault="005C681C" w:rsidP="005C681C">
            <w:pPr>
              <w:autoSpaceDE w:val="0"/>
              <w:autoSpaceDN w:val="0"/>
              <w:adjustRightInd w:val="0"/>
              <w:rPr>
                <w:bCs/>
                <w:noProof/>
                <w:sz w:val="22"/>
                <w:szCs w:val="22"/>
                <w:lang w:val="tr-TR" w:eastAsia="en-GB"/>
              </w:rPr>
            </w:pPr>
          </w:p>
          <w:p w14:paraId="0DC7C45A" w14:textId="77777777" w:rsidR="005C681C" w:rsidRPr="005C681C" w:rsidRDefault="005C681C" w:rsidP="005C681C">
            <w:pPr>
              <w:pStyle w:val="ListParagraph"/>
              <w:numPr>
                <w:ilvl w:val="0"/>
                <w:numId w:val="3"/>
              </w:numPr>
              <w:autoSpaceDE w:val="0"/>
              <w:autoSpaceDN w:val="0"/>
              <w:adjustRightInd w:val="0"/>
              <w:rPr>
                <w:bCs/>
                <w:noProof/>
                <w:sz w:val="22"/>
                <w:szCs w:val="22"/>
                <w:lang w:val="tr-TR" w:eastAsia="en-GB"/>
              </w:rPr>
            </w:pPr>
            <w:r w:rsidRPr="005C681C">
              <w:rPr>
                <w:bCs/>
                <w:noProof/>
                <w:sz w:val="22"/>
                <w:szCs w:val="22"/>
                <w:lang w:val="tr-TR" w:eastAsia="en-GB"/>
              </w:rPr>
              <w:t xml:space="preserve">2000/96/EC: Commission Decision of 22 December 1999 on the communicable diseases to be progressively covered by the Community network under Decision No 2119/98/EC of the European Parliament and of the Council  </w:t>
            </w:r>
          </w:p>
          <w:p w14:paraId="1C1B033B" w14:textId="77777777" w:rsidR="005C681C" w:rsidRPr="005C681C" w:rsidRDefault="005C681C" w:rsidP="005C681C">
            <w:pPr>
              <w:autoSpaceDE w:val="0"/>
              <w:autoSpaceDN w:val="0"/>
              <w:adjustRightInd w:val="0"/>
              <w:rPr>
                <w:bCs/>
                <w:noProof/>
                <w:sz w:val="22"/>
                <w:szCs w:val="22"/>
                <w:lang w:val="tr-TR" w:eastAsia="en-GB"/>
              </w:rPr>
            </w:pPr>
          </w:p>
          <w:p w14:paraId="5357BA8F" w14:textId="77777777" w:rsidR="005C681C" w:rsidRPr="005C681C" w:rsidRDefault="005C681C" w:rsidP="005C681C">
            <w:pPr>
              <w:pStyle w:val="ListParagraph"/>
              <w:numPr>
                <w:ilvl w:val="0"/>
                <w:numId w:val="3"/>
              </w:numPr>
              <w:autoSpaceDE w:val="0"/>
              <w:autoSpaceDN w:val="0"/>
              <w:adjustRightInd w:val="0"/>
              <w:rPr>
                <w:bCs/>
                <w:noProof/>
                <w:sz w:val="22"/>
                <w:szCs w:val="22"/>
                <w:lang w:val="tr-TR" w:eastAsia="en-GB"/>
              </w:rPr>
            </w:pPr>
            <w:r w:rsidRPr="005C681C">
              <w:rPr>
                <w:bCs/>
                <w:noProof/>
                <w:sz w:val="22"/>
                <w:szCs w:val="22"/>
                <w:lang w:val="tr-TR" w:eastAsia="en-GB"/>
              </w:rPr>
              <w:t xml:space="preserve">2002/253/EC: Commission Decision of 19 March 2002 laying down case definitions for reporting communicable diseases to the Community network under Decision No 2119/98/EC of the European Parliament and of the Council  </w:t>
            </w:r>
          </w:p>
          <w:p w14:paraId="097F7FDD" w14:textId="77777777" w:rsidR="005C681C" w:rsidRPr="005C681C" w:rsidRDefault="005C681C" w:rsidP="005C681C">
            <w:pPr>
              <w:autoSpaceDE w:val="0"/>
              <w:autoSpaceDN w:val="0"/>
              <w:adjustRightInd w:val="0"/>
              <w:rPr>
                <w:bCs/>
                <w:noProof/>
                <w:sz w:val="22"/>
                <w:szCs w:val="22"/>
                <w:lang w:val="tr-TR" w:eastAsia="en-GB"/>
              </w:rPr>
            </w:pPr>
          </w:p>
          <w:p w14:paraId="7B590551" w14:textId="77777777" w:rsidR="005C681C" w:rsidRPr="005C681C" w:rsidRDefault="005C681C" w:rsidP="005C681C">
            <w:pPr>
              <w:pStyle w:val="ListParagraph"/>
              <w:numPr>
                <w:ilvl w:val="0"/>
                <w:numId w:val="3"/>
              </w:numPr>
              <w:autoSpaceDE w:val="0"/>
              <w:autoSpaceDN w:val="0"/>
              <w:adjustRightInd w:val="0"/>
              <w:rPr>
                <w:bCs/>
                <w:noProof/>
                <w:sz w:val="22"/>
                <w:szCs w:val="22"/>
                <w:lang w:val="tr-TR" w:eastAsia="en-GB"/>
              </w:rPr>
            </w:pPr>
            <w:r w:rsidRPr="005C681C">
              <w:rPr>
                <w:bCs/>
                <w:noProof/>
                <w:sz w:val="22"/>
                <w:szCs w:val="22"/>
                <w:lang w:val="tr-TR" w:eastAsia="en-GB"/>
              </w:rPr>
              <w:t>Regulation (EC) No 851/2004 of the European Parliament and of the Council of 21 April 2004 establishing a European Centre for Disease Prevention and Control</w:t>
            </w:r>
          </w:p>
          <w:p w14:paraId="7C8136CC" w14:textId="3ECEB4BA" w:rsidR="00EF0AA3" w:rsidRPr="00EF0AA3" w:rsidRDefault="00EF0AA3" w:rsidP="005C681C">
            <w:pPr>
              <w:autoSpaceDE w:val="0"/>
              <w:autoSpaceDN w:val="0"/>
              <w:adjustRightInd w:val="0"/>
              <w:rPr>
                <w:bCs/>
                <w:noProof/>
                <w:sz w:val="22"/>
                <w:szCs w:val="22"/>
                <w:lang w:val="tr-TR" w:eastAsia="en-GB"/>
              </w:rPr>
            </w:pPr>
          </w:p>
        </w:tc>
      </w:tr>
      <w:tr w:rsidR="00EF0AA3" w14:paraId="58A16EBE" w14:textId="77777777" w:rsidTr="00A23578">
        <w:tc>
          <w:tcPr>
            <w:tcW w:w="1341" w:type="pct"/>
            <w:tcBorders>
              <w:top w:val="single" w:sz="4" w:space="0" w:color="auto"/>
              <w:left w:val="double" w:sz="6" w:space="0" w:color="auto"/>
              <w:bottom w:val="single" w:sz="4" w:space="0" w:color="auto"/>
              <w:right w:val="single" w:sz="4" w:space="0" w:color="auto"/>
            </w:tcBorders>
            <w:hideMark/>
          </w:tcPr>
          <w:p w14:paraId="63BEC9CD" w14:textId="77777777" w:rsidR="00EF0AA3" w:rsidRDefault="00EF0AA3" w:rsidP="00A23578">
            <w:pPr>
              <w:spacing w:line="256" w:lineRule="auto"/>
              <w:rPr>
                <w:b/>
                <w:lang w:val="en-GB" w:eastAsia="fr-FR"/>
              </w:rPr>
            </w:pPr>
            <w:r>
              <w:rPr>
                <w:b/>
                <w:sz w:val="22"/>
                <w:szCs w:val="22"/>
                <w:lang w:val="en-GB" w:eastAsia="fr-FR"/>
              </w:rPr>
              <w:t>National transposition instrument(s)</w:t>
            </w:r>
          </w:p>
        </w:tc>
        <w:tc>
          <w:tcPr>
            <w:tcW w:w="3659" w:type="pct"/>
            <w:tcBorders>
              <w:top w:val="single" w:sz="4" w:space="0" w:color="auto"/>
              <w:left w:val="nil"/>
              <w:bottom w:val="single" w:sz="4" w:space="0" w:color="auto"/>
              <w:right w:val="double" w:sz="6" w:space="0" w:color="auto"/>
            </w:tcBorders>
          </w:tcPr>
          <w:p w14:paraId="02CB9F0D" w14:textId="06B66978" w:rsidR="00EF0AA3" w:rsidRPr="00DF6185" w:rsidRDefault="00EF0AA3" w:rsidP="00EF0AA3">
            <w:pPr>
              <w:pStyle w:val="ListParagraph"/>
              <w:numPr>
                <w:ilvl w:val="0"/>
                <w:numId w:val="1"/>
              </w:numPr>
              <w:rPr>
                <w:rFonts w:eastAsia="Calibri"/>
                <w:iCs/>
                <w:sz w:val="22"/>
                <w:szCs w:val="22"/>
                <w:lang w:val="tr-TR"/>
              </w:rPr>
            </w:pPr>
            <w:r>
              <w:rPr>
                <w:rFonts w:eastAsia="Calibri"/>
                <w:iCs/>
                <w:sz w:val="22"/>
                <w:szCs w:val="22"/>
                <w:lang w:val="tr-TR"/>
              </w:rPr>
              <w:t>None indicated</w:t>
            </w:r>
          </w:p>
        </w:tc>
      </w:tr>
    </w:tbl>
    <w:p w14:paraId="51849417" w14:textId="40983682" w:rsidR="00EF0AA3" w:rsidRDefault="00EF0AA3"/>
    <w:p w14:paraId="2A6FDD43" w14:textId="20882A7C" w:rsidR="00C314BB" w:rsidRDefault="00C314BB"/>
    <w:p w14:paraId="22D2940A" w14:textId="73A1F44C" w:rsidR="00C314BB" w:rsidRPr="001D7210" w:rsidRDefault="00C314BB">
      <w:pPr>
        <w:rPr>
          <w:b/>
        </w:rPr>
      </w:pPr>
      <w:r w:rsidRPr="001D7210">
        <w:rPr>
          <w:b/>
        </w:rPr>
        <w:t xml:space="preserve">Overview of issues identified: </w:t>
      </w:r>
    </w:p>
    <w:p w14:paraId="27260CAF" w14:textId="79C15FD3" w:rsidR="00C314BB" w:rsidRDefault="00C314BB"/>
    <w:p w14:paraId="408EC275" w14:textId="37BE5D7A" w:rsidR="009664C5" w:rsidRDefault="009664C5" w:rsidP="009664C5">
      <w:pPr>
        <w:pStyle w:val="ListParagraph"/>
        <w:numPr>
          <w:ilvl w:val="0"/>
          <w:numId w:val="2"/>
        </w:numPr>
      </w:pPr>
      <w:r>
        <w:t xml:space="preserve">For most of the articles of the EU law included in this Table of Correspondence, the national authorities have provided information about whether there exists a provision, </w:t>
      </w:r>
      <w:proofErr w:type="spellStart"/>
      <w:r>
        <w:t>programme</w:t>
      </w:r>
      <w:proofErr w:type="spellEnd"/>
      <w:r>
        <w:t xml:space="preserve">, strategy or authority that puts in place the requirements of the EU law, however without including a clear reference to such national provision, </w:t>
      </w:r>
      <w:proofErr w:type="spellStart"/>
      <w:r>
        <w:t>programme</w:t>
      </w:r>
      <w:proofErr w:type="spellEnd"/>
      <w:r>
        <w:t xml:space="preserve">, strategy or allocation of competence to an authority. This is the case for preparedness and response planning, epidemiological surveillance and ad hoc monitoring, structures and mechanisms, alert notification, and other structures and mechanisms. </w:t>
      </w:r>
    </w:p>
    <w:p w14:paraId="057D1C9B" w14:textId="380CA1BF" w:rsidR="00863347" w:rsidRDefault="009664C5" w:rsidP="009664C5">
      <w:pPr>
        <w:pStyle w:val="ListParagraph"/>
        <w:numPr>
          <w:ilvl w:val="0"/>
          <w:numId w:val="2"/>
        </w:numPr>
      </w:pPr>
      <w:r>
        <w:lastRenderedPageBreak/>
        <w:t xml:space="preserve">It is important to notice, that we provided similar comments for the (not legally binding) Council Recommendations, given that in some cases, the national authorities have indicated that there exists a structure or mechanism but have not provided further information of where such mechanism or structure is established. </w:t>
      </w:r>
    </w:p>
    <w:sectPr w:rsidR="008633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B8D"/>
    <w:multiLevelType w:val="hybridMultilevel"/>
    <w:tmpl w:val="99FE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DB585B"/>
    <w:multiLevelType w:val="hybridMultilevel"/>
    <w:tmpl w:val="B0868B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56D57460"/>
    <w:multiLevelType w:val="hybridMultilevel"/>
    <w:tmpl w:val="CE60F5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F0AA3"/>
    <w:rsid w:val="001D7210"/>
    <w:rsid w:val="005C681C"/>
    <w:rsid w:val="00765C83"/>
    <w:rsid w:val="007724F3"/>
    <w:rsid w:val="0079715E"/>
    <w:rsid w:val="00863347"/>
    <w:rsid w:val="009664C5"/>
    <w:rsid w:val="00B01339"/>
    <w:rsid w:val="00C314BB"/>
    <w:rsid w:val="00D807E9"/>
    <w:rsid w:val="00EC08B2"/>
    <w:rsid w:val="00EF0A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F0AA3"/>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EF0AA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C681C"/>
    <w:rPr>
      <w:color w:val="0563C1" w:themeColor="hyperlink"/>
      <w:u w:val="single"/>
    </w:rPr>
  </w:style>
  <w:style w:type="character" w:customStyle="1" w:styleId="UnresolvedMention">
    <w:name w:val="Unresolved Mention"/>
    <w:basedOn w:val="DefaultParagraphFont"/>
    <w:uiPriority w:val="99"/>
    <w:semiHidden/>
    <w:unhideWhenUsed/>
    <w:rsid w:val="005C68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F0AA3"/>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EF0AA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C681C"/>
    <w:rPr>
      <w:color w:val="0563C1" w:themeColor="hyperlink"/>
      <w:u w:val="single"/>
    </w:rPr>
  </w:style>
  <w:style w:type="character" w:customStyle="1" w:styleId="UnresolvedMention">
    <w:name w:val="Unresolved Mention"/>
    <w:basedOn w:val="DefaultParagraphFont"/>
    <w:uiPriority w:val="99"/>
    <w:semiHidden/>
    <w:unhideWhenUsed/>
    <w:rsid w:val="005C6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2391</Characters>
  <Application>Microsoft Office Word</Application>
  <DocSecurity>4</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Castro</dc:creator>
  <cp:lastModifiedBy>KOCHISHVILI Nika (EEAS-TBILISI)</cp:lastModifiedBy>
  <cp:revision>2</cp:revision>
  <dcterms:created xsi:type="dcterms:W3CDTF">2019-02-11T08:03:00Z</dcterms:created>
  <dcterms:modified xsi:type="dcterms:W3CDTF">2019-02-11T08:03:00Z</dcterms:modified>
</cp:coreProperties>
</file>